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left"/>
      </w:pPr>
      <w:r>
        <w:rPr>
          <w:rFonts w:ascii="Calibri" w:hAnsi="Calibri"/>
          <w:b/>
          <w:i w:val="0"/>
          <w:color w:val="1F3143"/>
          <w:sz w:val="48"/>
        </w:rPr>
        <w:t>JORDAN M. SPIEGEL</w:t>
      </w:r>
    </w:p>
    <w:p>
      <w:pPr>
        <w:spacing w:after="100"/>
      </w:pPr>
      <w:r>
        <w:rPr>
          <w:rFonts w:ascii="Calibri" w:hAnsi="Calibri"/>
          <w:b/>
          <w:i w:val="0"/>
          <w:color w:val="7A5137"/>
          <w:sz w:val="24"/>
        </w:rPr>
        <w:t>BOARD DIRECTOR  |  CEO &amp; EXECUTIVE CHAIRMAN  |  INVESTOR &amp; CAPITAL PARTNER</w:t>
      </w:r>
    </w:p>
    <w:p>
      <w:pPr>
        <w:spacing w:after="40"/>
      </w:pPr>
      <w:r>
        <w:rPr>
          <w:rFonts w:ascii="Calibri" w:hAnsi="Calibri"/>
          <w:b w:val="0"/>
          <w:i w:val="0"/>
          <w:color w:val="5C636B"/>
          <w:sz w:val="18"/>
        </w:rPr>
        <w:t>Dana Point, CA  •  (949) 292-4860  •  jordy@spiegelpartners.com  •  linkedin.com/in/spiegelpartners</w:t>
      </w:r>
    </w:p>
    <w:p>
      <w:pPr>
        <w:spacing w:after="160"/>
      </w:pPr>
      <w:r>
        <w:rPr>
          <w:rFonts w:ascii="Calibri" w:hAnsi="Calibri"/>
          <w:b/>
          <w:i w:val="0"/>
          <w:color w:val="5C636B"/>
          <w:sz w:val="18"/>
        </w:rPr>
        <w:t xml:space="preserve">August Portola: </w:t>
      </w:r>
      <w:hyperlink r:id="rId11">
        <w:r>
          <w:rPr>
            <w:rFonts w:ascii="Calibri" w:hAnsi="Calibri"/>
            <w:sz w:val="18"/>
            <w:color w:val="5C636B"/>
            <w:u w:val="single"/>
          </w:rPr>
          <w:t>https://august-portola.jordy764932.chatgpt.site/</w:t>
        </w:r>
      </w:hyperlink>
    </w:p>
    <w:p>
      <w:pPr>
        <w:pStyle w:val="Heading1"/>
      </w:pPr>
      <w:r>
        <w:rPr>
          <w:rFonts w:ascii="Calibri" w:hAnsi="Calibri"/>
          <w:b/>
          <w:i w:val="0"/>
          <w:color w:val="7A5137"/>
          <w:sz w:val="27"/>
        </w:rPr>
        <w:t>BOARD &amp; CAPITAL PARTNER PROFILE</w:t>
      </w:r>
    </w:p>
    <w:p>
      <w:pPr>
        <w:spacing w:after="100"/>
      </w:pPr>
      <w:r>
        <w:rPr>
          <w:rFonts w:ascii="Calibri" w:hAnsi="Calibri"/>
          <w:b w:val="0"/>
          <w:i w:val="0"/>
          <w:color w:val="191B1E"/>
          <w:sz w:val="20"/>
        </w:rPr>
        <w:t>CEO, executive chairman, director, and long-term capital allocator with more than 30 years of experience across founder-led, family-office, sponsor-backed, public-company, and nonprofit environments. Combines constructive CEO partnership with governance oversight, strategic judgment, disciplined capital allocation, and financing execution. Target mandate: independent director, lead director, or executive chair for a company navigating growth, ownership transition, recapitalization, or a financing.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EDE9E5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GOVERNANCE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CEO partnership • Board effectiveness • Audit, compensation &amp; nominating oversight</w:t>
            </w:r>
          </w:p>
        </w:tc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EDE9E5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CAPITAL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LBOs • Public toeholds • Growth equity • Private credit • Recapitalizations</w:t>
            </w:r>
          </w:p>
        </w:tc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EDE9E5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OPERATING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Industrials • Technology assessment • Healthcare • Financial services • Consumer</w:t>
            </w:r>
          </w:p>
        </w:tc>
      </w:tr>
      <w:tr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F7F5F3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FINANCING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Debt and equity evaluation • Structured credit • Sponsor and family-office collaboration</w:t>
            </w:r>
          </w:p>
        </w:tc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F7F5F3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TRANSITIONS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Acquisitions • Strategic repositioning • Minority investments • Company sales</w:t>
            </w:r>
          </w:p>
        </w:tc>
        <w:tc>
          <w:tcPr>
            <w:tcW w:type="dxa" w:w="3283"/>
            <w:tcMar>
              <w:top w:w="70" w:type="dxa"/>
              <w:start w:w="100" w:type="dxa"/>
              <w:bottom w:w="70" w:type="dxa"/>
              <w:end w:w="100" w:type="dxa"/>
            </w:tcMar>
            <w:shd w:fill="F7F5F3"/>
            <w:vAlign w:val="center"/>
          </w:tcPr>
          <w:p>
            <w:pPr>
              <w:spacing w:after="40"/>
              <w:jc w:val="left"/>
            </w:pPr>
            <w:r>
              <w:rPr>
                <w:rFonts w:ascii="Calibri" w:hAnsi="Calibri"/>
                <w:b/>
                <w:i w:val="0"/>
                <w:color w:val="7A5137"/>
                <w:sz w:val="17"/>
              </w:rPr>
              <w:t>ALIGNMENT</w:t>
            </w:r>
          </w:p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191B1E"/>
                <w:sz w:val="17"/>
              </w:rPr>
              <w:t>Trust • Respect • Humility • Mission-driven hunger • Aligned economic incentives</w:t>
            </w:r>
          </w:p>
        </w:tc>
      </w:tr>
    </w:tbl>
    <w:p>
      <w:pPr>
        <w:pStyle w:val="Heading1"/>
      </w:pPr>
      <w:r>
        <w:t>SELECTED VALUE CREATION &amp; FINANCING RESULTS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48% IRR — led the Meisei Tools investor recapitalization while preserving continuing ownership.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$18 million financing — structured a Solugenix private-credit facility supporting a share repurchase; targeted gross cash-on-cash yield approximately 15%.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Approximately 5× invested capital — BankServ board and Executive Committee service through growth and a strategic sale to GTCR, based on sponsor records.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Public-company transition — joined Inspirato’s board in September 2025; company subsequently sold to Exclusive Resorts in 2026.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4.9% Schedule 13D position — built a Tribune Publishing stake and engaged on governance, strategy, and shareholder value.</w:t>
      </w:r>
    </w:p>
    <w:p>
      <w:pPr>
        <w:pStyle w:val="Heading1"/>
      </w:pPr>
      <w:r>
        <w:t>CURRENT LEADERSHIP</w:t>
      </w:r>
    </w:p>
    <w:p>
      <w:pPr>
        <w:pStyle w:val="Heading2"/>
      </w:pPr>
      <w:r>
        <w:rPr>
          <w:rFonts w:ascii="Calibri" w:hAnsi="Calibri"/>
          <w:b/>
          <w:i w:val="0"/>
          <w:color w:val="1F3143"/>
          <w:sz w:val="23"/>
        </w:rPr>
        <w:t>Founder &amp; CEO</w:t>
      </w:r>
      <w:r>
        <w:rPr>
          <w:rFonts w:ascii="Calibri" w:hAnsi="Calibri"/>
          <w:b/>
          <w:i w:val="0"/>
          <w:color w:val="7A5137"/>
          <w:sz w:val="23"/>
        </w:rPr>
        <w:t xml:space="preserve">  |  August Portola</w:t>
      </w:r>
    </w:p>
    <w:p>
      <w:pPr>
        <w:spacing w:after="40"/>
      </w:pPr>
      <w:r>
        <w:rPr>
          <w:rFonts w:ascii="Calibri" w:hAnsi="Calibri"/>
          <w:b w:val="0"/>
          <w:i/>
          <w:color w:val="5C636B"/>
          <w:sz w:val="19"/>
        </w:rPr>
        <w:t>Investment and governance platform | Southern California | Present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Invests across leveraged buyouts, publicly traded toeholds, growth equity, and debt; partners with CEOs, family offices, and private equity and private debt sponsors.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Applies a consistent governance framework across portfolio companies whose revenues have ranged from $2.5 million to $1.6 billion.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Prioritizes preservation of capital, constructive board leadership, aligned incentives, and asymmetric risk-reward opportunities.</w:t>
      </w:r>
    </w:p>
    <w:p>
      <w:pPr>
        <w:pStyle w:val="Heading2"/>
      </w:pPr>
      <w:r>
        <w:rPr>
          <w:rFonts w:ascii="Calibri" w:hAnsi="Calibri"/>
          <w:b/>
          <w:i w:val="0"/>
          <w:color w:val="1F3143"/>
          <w:sz w:val="23"/>
        </w:rPr>
        <w:t>CEO &amp; Chairman</w:t>
      </w:r>
      <w:r>
        <w:rPr>
          <w:rFonts w:ascii="Calibri" w:hAnsi="Calibri"/>
          <w:b/>
          <w:i w:val="0"/>
          <w:color w:val="7A5137"/>
          <w:sz w:val="23"/>
        </w:rPr>
        <w:t xml:space="preserve">  |  IKM Holdings</w:t>
      </w:r>
    </w:p>
    <w:p>
      <w:pPr>
        <w:spacing w:after="40"/>
      </w:pPr>
      <w:r>
        <w:rPr>
          <w:rFonts w:ascii="Calibri" w:hAnsi="Calibri"/>
          <w:b w:val="0"/>
          <w:i/>
          <w:color w:val="5C636B"/>
          <w:sz w:val="19"/>
        </w:rPr>
        <w:t>Technology-enabled assessment and talent-intelligence platform | Present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Led the acquisition and strategic repositioning of IKM TeckChek.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Directs strategy, operations, capital allocation, governance, and leadership alignment.</w:t>
      </w:r>
    </w:p>
    <w:p>
      <w:pPr>
        <w:pStyle w:val="Heading2"/>
      </w:pPr>
      <w:r>
        <w:rPr>
          <w:rFonts w:ascii="Calibri" w:hAnsi="Calibri"/>
          <w:b/>
          <w:i w:val="0"/>
          <w:color w:val="1F3143"/>
          <w:sz w:val="23"/>
        </w:rPr>
        <w:t>Executive Chairman</w:t>
      </w:r>
      <w:r>
        <w:rPr>
          <w:rFonts w:ascii="Calibri" w:hAnsi="Calibri"/>
          <w:b/>
          <w:i w:val="0"/>
          <w:color w:val="7A5137"/>
          <w:sz w:val="23"/>
        </w:rPr>
        <w:t xml:space="preserve">  |  Meisei Tools</w:t>
      </w:r>
    </w:p>
    <w:p>
      <w:pPr>
        <w:spacing w:after="40"/>
      </w:pPr>
      <w:r>
        <w:rPr>
          <w:rFonts w:ascii="Calibri" w:hAnsi="Calibri"/>
          <w:b w:val="0"/>
          <w:i/>
          <w:color w:val="5C636B"/>
          <w:sz w:val="19"/>
        </w:rPr>
        <w:t>Industrial platform | Present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Led the acquisition from founding shareholders and subsequently introduced a strategic minority investment partner.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Works with management on operating performance, organizational development, strategic positioning, and disciplined capital deployment.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Investor recapitalization generated a reported 48% internal rate of return while preserving continuing ownership.</w:t>
      </w:r>
    </w:p>
    <w:p>
      <w:pPr>
        <w:pStyle w:val="Heading2"/>
      </w:pPr>
      <w:r>
        <w:rPr>
          <w:rFonts w:ascii="Calibri" w:hAnsi="Calibri"/>
          <w:b/>
          <w:i w:val="0"/>
          <w:color w:val="1F3143"/>
          <w:sz w:val="23"/>
        </w:rPr>
        <w:t>Managing Member</w:t>
      </w:r>
      <w:r>
        <w:rPr>
          <w:rFonts w:ascii="Calibri" w:hAnsi="Calibri"/>
          <w:b/>
          <w:i w:val="0"/>
          <w:color w:val="7A5137"/>
          <w:sz w:val="23"/>
        </w:rPr>
        <w:t xml:space="preserve">  |  Solugenix Lenders I LLC</w:t>
      </w:r>
    </w:p>
    <w:p>
      <w:pPr>
        <w:spacing w:after="40"/>
      </w:pPr>
      <w:r>
        <w:rPr>
          <w:rFonts w:ascii="Calibri" w:hAnsi="Calibri"/>
          <w:b w:val="0"/>
          <w:i/>
          <w:color w:val="5C636B"/>
          <w:sz w:val="19"/>
        </w:rPr>
        <w:t>Private credit and structured investment platform | Present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Structured an approximately $18 million private-credit facility supporting a share repurchase, completed in December 2024.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Works alongside family-office and institutional co-investment partners; targeted gross cash-on-cash yield approximately 15%.</w:t>
      </w:r>
    </w:p>
    <w:p>
      <w:pPr>
        <w:pStyle w:val="Heading1"/>
      </w:pPr>
      <w:r>
        <w:t>SELECTED BOARD, INVESTMENT &amp; TRANSACTION EXPERIENCE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Inspirato</w:t>
      </w:r>
      <w:r>
        <w:rPr>
          <w:rFonts w:ascii="Calibri" w:hAnsi="Calibri"/>
          <w:b/>
          <w:i w:val="0"/>
          <w:color w:val="7A5137"/>
          <w:sz w:val="20"/>
        </w:rPr>
        <w:t xml:space="preserve">  |  Independent Director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Joined the public-company board in September 2025 during a strategic transition; company subsequently sold to Exclusive Resorts in 2026.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BankServ</w:t>
      </w:r>
      <w:r>
        <w:rPr>
          <w:rFonts w:ascii="Calibri" w:hAnsi="Calibri"/>
          <w:b/>
          <w:i w:val="0"/>
          <w:color w:val="7A5137"/>
          <w:sz w:val="20"/>
        </w:rPr>
        <w:t xml:space="preserve">  |  Director; Executive Committee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Supported leadership through enterprise growth and a strategic sale to GTCR; approximately fivefold return on invested capital based on sponsor records.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Tribune Publishing</w:t>
      </w:r>
      <w:r>
        <w:rPr>
          <w:rFonts w:ascii="Calibri" w:hAnsi="Calibri"/>
          <w:b/>
          <w:i w:val="0"/>
          <w:color w:val="7A5137"/>
          <w:sz w:val="20"/>
        </w:rPr>
        <w:t xml:space="preserve">  |  Public-company investor; Schedule 13D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Built an approximately 4.9% position and engaged around governance, strategy, and shareholder value.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Pic ’N’ Save</w:t>
      </w:r>
      <w:r>
        <w:rPr>
          <w:rFonts w:ascii="Calibri" w:hAnsi="Calibri"/>
          <w:b/>
          <w:i w:val="0"/>
          <w:color w:val="7A5137"/>
          <w:sz w:val="20"/>
        </w:rPr>
        <w:t xml:space="preserve">  |  Public-company activist investment; Schedule 13D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Participated through Girard Partners in a significant ownership position and value-creation initiative.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FortuNet</w:t>
      </w:r>
      <w:r>
        <w:rPr>
          <w:rFonts w:ascii="Calibri" w:hAnsi="Calibri"/>
          <w:b/>
          <w:i w:val="0"/>
          <w:color w:val="7A5137"/>
          <w:sz w:val="20"/>
        </w:rPr>
        <w:t xml:space="preserve">  |  Strategic adviser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Advised through the company’s 2006 WR Hambrecht OpenIPO and public-market transition.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PersonalCare Physicians</w:t>
      </w:r>
      <w:r>
        <w:rPr>
          <w:rFonts w:ascii="Calibri" w:hAnsi="Calibri"/>
          <w:b/>
          <w:i w:val="0"/>
          <w:color w:val="7A5137"/>
          <w:sz w:val="20"/>
        </w:rPr>
        <w:t xml:space="preserve">  |  Investor / board-level engagement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Healthcare platform sold to Hoag in 2018.</w:t>
      </w:r>
    </w:p>
    <w:p>
      <w:pPr>
        <w:keepNext/>
        <w:spacing w:after="20"/>
      </w:pPr>
      <w:r>
        <w:rPr>
          <w:rFonts w:ascii="Calibri" w:hAnsi="Calibri"/>
          <w:b/>
          <w:i w:val="0"/>
          <w:color w:val="1F3143"/>
          <w:sz w:val="21"/>
        </w:rPr>
        <w:t>The Laffer Center</w:t>
      </w:r>
      <w:r>
        <w:rPr>
          <w:rFonts w:ascii="Calibri" w:hAnsi="Calibri"/>
          <w:b/>
          <w:i w:val="0"/>
          <w:color w:val="7A5137"/>
          <w:sz w:val="20"/>
        </w:rPr>
        <w:t xml:space="preserve">  |  Director</w:t>
      </w:r>
    </w:p>
    <w:p>
      <w:pPr>
        <w:spacing w:after="80"/>
      </w:pPr>
      <w:r>
        <w:rPr>
          <w:rFonts w:ascii="Calibri" w:hAnsi="Calibri"/>
          <w:b w:val="0"/>
          <w:i w:val="0"/>
          <w:color w:val="191B1E"/>
          <w:sz w:val="19"/>
        </w:rPr>
        <w:t>Current board service supporting a public-policy organization.</w:t>
      </w:r>
    </w:p>
    <w:p>
      <w:pPr>
        <w:pStyle w:val="Heading1"/>
      </w:pPr>
      <w:r>
        <w:t>EARLIER CAREER</w:t>
      </w:r>
    </w:p>
    <w:p>
      <w:pPr>
        <w:spacing w:after="20"/>
      </w:pPr>
      <w:r>
        <w:rPr>
          <w:rFonts w:ascii="Calibri" w:hAnsi="Calibri"/>
          <w:b/>
          <w:i w:val="0"/>
          <w:color w:val="1F3143"/>
          <w:sz w:val="20"/>
        </w:rPr>
        <w:t>Founding Partner</w:t>
      </w:r>
      <w:r>
        <w:rPr>
          <w:rFonts w:ascii="Calibri" w:hAnsi="Calibri"/>
          <w:b/>
          <w:i w:val="0"/>
          <w:color w:val="7A5137"/>
          <w:sz w:val="20"/>
        </w:rPr>
        <w:t xml:space="preserve">  |  GESD Capital Partners</w:t>
      </w:r>
    </w:p>
    <w:p>
      <w:pPr>
        <w:spacing w:after="60"/>
      </w:pPr>
      <w:r>
        <w:rPr>
          <w:rFonts w:ascii="Calibri" w:hAnsi="Calibri"/>
          <w:b w:val="0"/>
          <w:i w:val="0"/>
          <w:color w:val="191B1E"/>
          <w:sz w:val="19"/>
        </w:rPr>
        <w:t>Private equity investing, portfolio governance, and value creation.</w:t>
      </w:r>
    </w:p>
    <w:p>
      <w:pPr>
        <w:spacing w:after="20"/>
      </w:pPr>
      <w:r>
        <w:rPr>
          <w:rFonts w:ascii="Calibri" w:hAnsi="Calibri"/>
          <w:b/>
          <w:i w:val="0"/>
          <w:color w:val="1F3143"/>
          <w:sz w:val="20"/>
        </w:rPr>
        <w:t>Executive Vice President</w:t>
      </w:r>
      <w:r>
        <w:rPr>
          <w:rFonts w:ascii="Calibri" w:hAnsi="Calibri"/>
          <w:b/>
          <w:i w:val="0"/>
          <w:color w:val="7A5137"/>
          <w:sz w:val="20"/>
        </w:rPr>
        <w:t xml:space="preserve">  |  Laffer Associates</w:t>
      </w:r>
    </w:p>
    <w:p>
      <w:pPr>
        <w:spacing w:after="60"/>
      </w:pPr>
      <w:r>
        <w:rPr>
          <w:rFonts w:ascii="Calibri" w:hAnsi="Calibri"/>
          <w:b w:val="0"/>
          <w:i w:val="0"/>
          <w:color w:val="191B1E"/>
          <w:sz w:val="19"/>
        </w:rPr>
        <w:t>Economic research, strategic advisory, and investment-related work.</w:t>
      </w:r>
    </w:p>
    <w:p>
      <w:pPr>
        <w:spacing w:after="20"/>
      </w:pPr>
      <w:r>
        <w:rPr>
          <w:rFonts w:ascii="Calibri" w:hAnsi="Calibri"/>
          <w:b/>
          <w:i w:val="0"/>
          <w:color w:val="1F3143"/>
          <w:sz w:val="20"/>
        </w:rPr>
        <w:t>Securities Analyst</w:t>
      </w:r>
      <w:r>
        <w:rPr>
          <w:rFonts w:ascii="Calibri" w:hAnsi="Calibri"/>
          <w:b/>
          <w:i w:val="0"/>
          <w:color w:val="7A5137"/>
          <w:sz w:val="20"/>
        </w:rPr>
        <w:t xml:space="preserve">  |  Crowell, Weedon &amp; Co.</w:t>
      </w:r>
    </w:p>
    <w:p>
      <w:pPr>
        <w:spacing w:after="60"/>
      </w:pPr>
      <w:r>
        <w:rPr>
          <w:rFonts w:ascii="Calibri" w:hAnsi="Calibri"/>
          <w:b w:val="0"/>
          <w:i w:val="0"/>
          <w:color w:val="191B1E"/>
          <w:sz w:val="19"/>
        </w:rPr>
        <w:t>Publicly traded special situations and fundamental securities analysis.</w:t>
      </w:r>
    </w:p>
    <w:p>
      <w:pPr>
        <w:spacing w:after="20"/>
      </w:pPr>
      <w:r>
        <w:rPr>
          <w:rFonts w:ascii="Calibri" w:hAnsi="Calibri"/>
          <w:b/>
          <w:i w:val="0"/>
          <w:color w:val="1F3143"/>
          <w:sz w:val="20"/>
        </w:rPr>
        <w:t>Research Staff</w:t>
      </w:r>
      <w:r>
        <w:rPr>
          <w:rFonts w:ascii="Calibri" w:hAnsi="Calibri"/>
          <w:b/>
          <w:i w:val="0"/>
          <w:color w:val="7A5137"/>
          <w:sz w:val="20"/>
        </w:rPr>
        <w:t xml:space="preserve">  |  Democratic Senatorial Campaign Committee</w:t>
      </w:r>
    </w:p>
    <w:p>
      <w:pPr>
        <w:spacing w:after="60"/>
      </w:pPr>
      <w:r>
        <w:rPr>
          <w:rFonts w:ascii="Calibri" w:hAnsi="Calibri"/>
          <w:b w:val="0"/>
          <w:i w:val="0"/>
          <w:color w:val="191B1E"/>
          <w:sz w:val="19"/>
        </w:rPr>
        <w:t>Policy and political research in Washington, D.C.</w:t>
      </w:r>
    </w:p>
    <w:p>
      <w:pPr>
        <w:pStyle w:val="Heading1"/>
      </w:pPr>
      <w:r>
        <w:t>EDUCATION</w:t>
      </w:r>
    </w:p>
    <w:p>
      <w:pPr>
        <w:spacing w:after="20"/>
      </w:pPr>
      <w:r>
        <w:rPr>
          <w:rFonts w:ascii="Calibri" w:hAnsi="Calibri"/>
          <w:b/>
          <w:i w:val="0"/>
          <w:color w:val="1F3143"/>
          <w:sz w:val="20"/>
        </w:rPr>
        <w:t>Master of Business Administration</w:t>
      </w:r>
      <w:r>
        <w:rPr>
          <w:rFonts w:ascii="Calibri" w:hAnsi="Calibri"/>
          <w:b/>
          <w:i w:val="0"/>
          <w:color w:val="7A5137"/>
          <w:sz w:val="20"/>
        </w:rPr>
        <w:t xml:space="preserve">  |  Harvard Business School</w:t>
      </w:r>
    </w:p>
    <w:p>
      <w:pPr>
        <w:spacing w:after="80"/>
      </w:pPr>
      <w:r>
        <w:rPr>
          <w:rFonts w:ascii="Calibri" w:hAnsi="Calibri"/>
          <w:b/>
          <w:i w:val="0"/>
          <w:color w:val="1F3143"/>
          <w:sz w:val="20"/>
        </w:rPr>
        <w:t>Bachelor of Arts, Cultural Anthropology</w:t>
      </w:r>
      <w:r>
        <w:rPr>
          <w:rFonts w:ascii="Calibri" w:hAnsi="Calibri"/>
          <w:b/>
          <w:i w:val="0"/>
          <w:color w:val="7A5137"/>
          <w:sz w:val="20"/>
        </w:rPr>
        <w:t xml:space="preserve">  |  University of Southern California</w:t>
      </w:r>
    </w:p>
    <w:p>
      <w:pPr>
        <w:pStyle w:val="Heading1"/>
      </w:pPr>
      <w:r>
        <w:t>BOARD MANDATE</w:t>
      </w:r>
    </w:p>
    <w:p>
      <w:pPr>
        <w:spacing w:after="40"/>
      </w:pPr>
      <w:r>
        <w:rPr>
          <w:rFonts w:ascii="Calibri" w:hAnsi="Calibri"/>
          <w:b w:val="0"/>
          <w:i w:val="0"/>
          <w:color w:val="191B1E"/>
          <w:sz w:val="20"/>
        </w:rPr>
        <w:t>Independent director, lead director, or executive-chair opportunity—public or private—where active CEO partnership, financing judgment, governance discipline, and long-term capital alignment can materially improve outcomes. Open to Southern California and national mandates. For the right company and terms, prepared to evaluate a personal or affiliated investment alongside a financing.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93" w:right="1037" w:bottom="893" w:left="1037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5C636B"/>
        <w:sz w:val="16"/>
      </w:rPr>
      <w:t>Jordan M. Spiegel  •  Dana Point, California  •  (949) 292-4860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b/>
        <w:i w:val="0"/>
        <w:color w:val="5C636B"/>
        <w:sz w:val="16"/>
      </w:rPr>
      <w:t>CONFIDENTIAL  |  AUGUST PORTOLA  |  BOARD &amp; CAPITAL PARTNERSHIP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Calibri" w:hAnsi="Calibri"/>
      <w:color w:val="191B1E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7A5137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 w:ascii="Calibri" w:hAnsi="Calibri"/>
      <w:b/>
      <w:bCs/>
      <w:color w:val="1F3143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20"/>
      <w:outlineLvl w:val="2"/>
    </w:pPr>
    <w:rPr>
      <w:rFonts w:asciiTheme="majorHAnsi" w:eastAsiaTheme="majorEastAsia" w:hAnsiTheme="majorHAnsi" w:cstheme="majorBidi" w:ascii="Calibri" w:hAnsi="Calibri"/>
      <w:b/>
      <w:bCs/>
      <w:color w:val="1F3143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40" w:line="250" w:lineRule="auto"/>
      <w:ind w:left="317" w:hanging="202"/>
      <w:contextualSpacing/>
    </w:pPr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august-portola.jordy764932.chatgpt.si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